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DF8" w:rsidRDefault="007376DF">
      <w:r>
        <w:rPr>
          <w:b/>
          <w:i/>
          <w:noProof/>
          <w:sz w:val="24"/>
          <w:szCs w:val="24"/>
          <w:lang w:eastAsia="fr-FR"/>
        </w:rPr>
        <mc:AlternateContent>
          <mc:Choice Requires="wps">
            <w:drawing>
              <wp:anchor distT="0" distB="0" distL="114300" distR="114300" simplePos="0" relativeHeight="251659264" behindDoc="0" locked="0" layoutInCell="1" allowOverlap="1" wp14:anchorId="7C0322D4" wp14:editId="1F5C194D">
                <wp:simplePos x="0" y="0"/>
                <wp:positionH relativeFrom="column">
                  <wp:posOffset>-656351</wp:posOffset>
                </wp:positionH>
                <wp:positionV relativeFrom="paragraph">
                  <wp:posOffset>-133837</wp:posOffset>
                </wp:positionV>
                <wp:extent cx="7106037" cy="7422078"/>
                <wp:effectExtent l="0" t="0" r="0" b="7620"/>
                <wp:wrapNone/>
                <wp:docPr id="15" name="Zone de texte 15"/>
                <wp:cNvGraphicFramePr/>
                <a:graphic xmlns:a="http://schemas.openxmlformats.org/drawingml/2006/main">
                  <a:graphicData uri="http://schemas.microsoft.com/office/word/2010/wordprocessingShape">
                    <wps:wsp>
                      <wps:cNvSpPr txBox="1"/>
                      <wps:spPr>
                        <a:xfrm>
                          <a:off x="0" y="0"/>
                          <a:ext cx="7106037" cy="7422078"/>
                        </a:xfrm>
                        <a:prstGeom prst="rect">
                          <a:avLst/>
                        </a:prstGeom>
                        <a:solidFill>
                          <a:srgbClr val="92D050"/>
                        </a:solidFill>
                        <a:ln w="6350">
                          <a:noFill/>
                        </a:ln>
                        <a:effectLst/>
                      </wps:spPr>
                      <wps:txbx>
                        <w:txbxContent>
                          <w:p w:rsidR="007376DF" w:rsidRPr="00F46CF5" w:rsidRDefault="00322DC7" w:rsidP="007376DF">
                            <w:pPr>
                              <w:ind w:firstLine="567"/>
                              <w:rPr>
                                <w:b/>
                                <w:color w:val="002060"/>
                                <w:sz w:val="20"/>
                                <w:szCs w:val="20"/>
                              </w:rPr>
                            </w:pPr>
                            <w:r>
                              <w:rPr>
                                <w:b/>
                                <w:i/>
                                <w:color w:val="002060"/>
                                <w:sz w:val="20"/>
                                <w:szCs w:val="20"/>
                              </w:rPr>
                              <w:t>Encadré 2</w:t>
                            </w:r>
                            <w:bookmarkStart w:id="0" w:name="_GoBack"/>
                            <w:bookmarkEnd w:id="0"/>
                            <w:r w:rsidR="007376DF" w:rsidRPr="00F46CF5">
                              <w:rPr>
                                <w:b/>
                                <w:i/>
                                <w:color w:val="002060"/>
                                <w:sz w:val="20"/>
                                <w:szCs w:val="20"/>
                              </w:rPr>
                              <w:t xml:space="preserve">: </w:t>
                            </w:r>
                            <w:proofErr w:type="spellStart"/>
                            <w:r w:rsidR="007376DF" w:rsidRPr="00F46CF5">
                              <w:rPr>
                                <w:b/>
                                <w:i/>
                                <w:color w:val="002060"/>
                                <w:sz w:val="20"/>
                                <w:szCs w:val="20"/>
                              </w:rPr>
                              <w:t>Nature’s</w:t>
                            </w:r>
                            <w:proofErr w:type="spellEnd"/>
                            <w:r w:rsidR="007376DF" w:rsidRPr="00F46CF5">
                              <w:rPr>
                                <w:b/>
                                <w:i/>
                                <w:color w:val="002060"/>
                                <w:sz w:val="20"/>
                                <w:szCs w:val="20"/>
                              </w:rPr>
                              <w:t xml:space="preserve"> contributions to people</w:t>
                            </w:r>
                            <w:r w:rsidR="007376DF" w:rsidRPr="00F46CF5">
                              <w:rPr>
                                <w:b/>
                                <w:color w:val="002060"/>
                                <w:sz w:val="20"/>
                                <w:szCs w:val="20"/>
                              </w:rPr>
                              <w:t xml:space="preserve"> (NCP)</w:t>
                            </w:r>
                          </w:p>
                          <w:p w:rsidR="007376DF" w:rsidRPr="00F46CF5" w:rsidRDefault="007376DF" w:rsidP="007376DF">
                            <w:pPr>
                              <w:ind w:firstLine="567"/>
                              <w:jc w:val="both"/>
                              <w:rPr>
                                <w:color w:val="002060"/>
                                <w:sz w:val="20"/>
                                <w:szCs w:val="20"/>
                              </w:rPr>
                            </w:pPr>
                            <w:r w:rsidRPr="00F46CF5">
                              <w:rPr>
                                <w:color w:val="002060"/>
                                <w:sz w:val="20"/>
                                <w:szCs w:val="20"/>
                              </w:rPr>
                              <w:t xml:space="preserve">L’IPBES compte, dans ses enjeux, celui de « maintenir ou stimuler les contributions bénéfiques de la nature à la qualité de vie des hommes ». Les NCP ont été définies et mises en pratique dans le cadre de l’IPBES. Elles s’appuient sur le concept des services </w:t>
                            </w:r>
                            <w:proofErr w:type="spellStart"/>
                            <w:r w:rsidRPr="00F46CF5">
                              <w:rPr>
                                <w:color w:val="002060"/>
                                <w:sz w:val="20"/>
                                <w:szCs w:val="20"/>
                              </w:rPr>
                              <w:t>écosystémiques</w:t>
                            </w:r>
                            <w:proofErr w:type="spellEnd"/>
                            <w:r w:rsidRPr="00F46CF5">
                              <w:rPr>
                                <w:color w:val="002060"/>
                                <w:sz w:val="20"/>
                                <w:szCs w:val="20"/>
                              </w:rPr>
                              <w:t xml:space="preserve"> popularisés par le Millenium </w:t>
                            </w:r>
                            <w:proofErr w:type="spellStart"/>
                            <w:r w:rsidRPr="00F46CF5">
                              <w:rPr>
                                <w:color w:val="002060"/>
                                <w:sz w:val="20"/>
                                <w:szCs w:val="20"/>
                              </w:rPr>
                              <w:t>Ecosystem</w:t>
                            </w:r>
                            <w:proofErr w:type="spellEnd"/>
                            <w:r w:rsidRPr="00F46CF5">
                              <w:rPr>
                                <w:color w:val="002060"/>
                                <w:sz w:val="20"/>
                                <w:szCs w:val="20"/>
                              </w:rPr>
                              <w:t xml:space="preserve"> </w:t>
                            </w:r>
                            <w:proofErr w:type="spellStart"/>
                            <w:r w:rsidRPr="00F46CF5">
                              <w:rPr>
                                <w:color w:val="002060"/>
                                <w:sz w:val="20"/>
                                <w:szCs w:val="20"/>
                              </w:rPr>
                              <w:t>Assessment</w:t>
                            </w:r>
                            <w:proofErr w:type="spellEnd"/>
                            <w:r w:rsidRPr="00F46CF5">
                              <w:rPr>
                                <w:color w:val="002060"/>
                                <w:sz w:val="20"/>
                                <w:szCs w:val="20"/>
                              </w:rPr>
                              <w:t>, mais en le modifiant. Deux modifications importantes : 1) la culture joue un rôle central dans les liens unissant l’homme et la nature ; 2) l’utilisation des NCP pousse/met en lumière le rôle des peuples indigènes et celui des savoirs locaux dans la compréhension de ces contributions de la nature.</w:t>
                            </w:r>
                          </w:p>
                          <w:p w:rsidR="007376DF" w:rsidRPr="00F46CF5" w:rsidRDefault="007376DF" w:rsidP="007376DF">
                            <w:pPr>
                              <w:ind w:firstLine="567"/>
                              <w:jc w:val="both"/>
                              <w:rPr>
                                <w:color w:val="002060"/>
                                <w:sz w:val="20"/>
                                <w:szCs w:val="20"/>
                              </w:rPr>
                            </w:pPr>
                            <w:r w:rsidRPr="00F46CF5">
                              <w:rPr>
                                <w:color w:val="002060"/>
                                <w:sz w:val="20"/>
                                <w:szCs w:val="20"/>
                              </w:rPr>
                              <w:t xml:space="preserve">Le travail classique sur les services </w:t>
                            </w:r>
                            <w:proofErr w:type="spellStart"/>
                            <w:r w:rsidRPr="00F46CF5">
                              <w:rPr>
                                <w:color w:val="002060"/>
                                <w:sz w:val="20"/>
                                <w:szCs w:val="20"/>
                              </w:rPr>
                              <w:t>écosystémiques</w:t>
                            </w:r>
                            <w:proofErr w:type="spellEnd"/>
                            <w:r w:rsidRPr="00F46CF5">
                              <w:rPr>
                                <w:color w:val="002060"/>
                                <w:sz w:val="20"/>
                                <w:szCs w:val="20"/>
                              </w:rPr>
                              <w:t xml:space="preserve"> est dominé par les sciences naturelles et économiques. Peu de place est laissée aux sciences sociales et aux savoirs locaux. L’approche des NCP reconnaît l’existence de ces sciences et savoirs, et le fait que des visions différentes du monde existent.</w:t>
                            </w:r>
                          </w:p>
                          <w:p w:rsidR="007376DF" w:rsidRPr="00F46CF5" w:rsidRDefault="007376DF" w:rsidP="007376DF">
                            <w:pPr>
                              <w:ind w:firstLine="567"/>
                              <w:jc w:val="both"/>
                              <w:rPr>
                                <w:color w:val="002060"/>
                                <w:sz w:val="20"/>
                                <w:szCs w:val="20"/>
                              </w:rPr>
                            </w:pPr>
                            <w:r w:rsidRPr="00F46CF5">
                              <w:rPr>
                                <w:color w:val="002060"/>
                                <w:sz w:val="20"/>
                                <w:szCs w:val="20"/>
                              </w:rPr>
                              <w:t xml:space="preserve">Les NCP peuvent être abordés de deux manières : généralisée ou contextuelle. </w:t>
                            </w:r>
                          </w:p>
                          <w:p w:rsidR="007376DF" w:rsidRPr="00F46CF5" w:rsidRDefault="007376DF" w:rsidP="007376DF">
                            <w:pPr>
                              <w:rPr>
                                <w:color w:val="002060"/>
                                <w:sz w:val="20"/>
                                <w:szCs w:val="20"/>
                              </w:rPr>
                            </w:pPr>
                            <w:r w:rsidRPr="00F46CF5">
                              <w:rPr>
                                <w:color w:val="002060"/>
                                <w:sz w:val="20"/>
                                <w:szCs w:val="20"/>
                                <w:u w:val="single"/>
                              </w:rPr>
                              <w:t>Approche généralisée</w:t>
                            </w:r>
                            <w:r w:rsidRPr="00F46CF5">
                              <w:rPr>
                                <w:color w:val="002060"/>
                                <w:sz w:val="20"/>
                                <w:szCs w:val="20"/>
                              </w:rPr>
                              <w:t> : évaluation de 18 catégories de flux de la nature vers l’homme. Ces 18 catégories sont distribuées en 3 groupes qui se superposent : « </w:t>
                            </w:r>
                            <w:proofErr w:type="spellStart"/>
                            <w:r w:rsidRPr="00F46CF5">
                              <w:rPr>
                                <w:i/>
                                <w:color w:val="002060"/>
                                <w:sz w:val="20"/>
                                <w:szCs w:val="20"/>
                              </w:rPr>
                              <w:t>regulating</w:t>
                            </w:r>
                            <w:proofErr w:type="spellEnd"/>
                            <w:r w:rsidRPr="00F46CF5">
                              <w:rPr>
                                <w:i/>
                                <w:color w:val="002060"/>
                                <w:sz w:val="20"/>
                                <w:szCs w:val="20"/>
                              </w:rPr>
                              <w:t xml:space="preserve"> NCP</w:t>
                            </w:r>
                            <w:r w:rsidRPr="00F46CF5">
                              <w:rPr>
                                <w:color w:val="002060"/>
                                <w:sz w:val="20"/>
                                <w:szCs w:val="20"/>
                              </w:rPr>
                              <w:t> », « </w:t>
                            </w:r>
                            <w:proofErr w:type="spellStart"/>
                            <w:r w:rsidRPr="00F46CF5">
                              <w:rPr>
                                <w:i/>
                                <w:color w:val="002060"/>
                                <w:sz w:val="20"/>
                                <w:szCs w:val="20"/>
                              </w:rPr>
                              <w:t>material</w:t>
                            </w:r>
                            <w:proofErr w:type="spellEnd"/>
                            <w:r w:rsidRPr="00F46CF5">
                              <w:rPr>
                                <w:i/>
                                <w:color w:val="002060"/>
                                <w:sz w:val="20"/>
                                <w:szCs w:val="20"/>
                              </w:rPr>
                              <w:t xml:space="preserve"> NCP</w:t>
                            </w:r>
                            <w:r w:rsidRPr="00F46CF5">
                              <w:rPr>
                                <w:color w:val="002060"/>
                                <w:sz w:val="20"/>
                                <w:szCs w:val="20"/>
                              </w:rPr>
                              <w:t> » et « </w:t>
                            </w:r>
                            <w:r w:rsidRPr="00F46CF5">
                              <w:rPr>
                                <w:i/>
                                <w:color w:val="002060"/>
                                <w:sz w:val="20"/>
                                <w:szCs w:val="20"/>
                              </w:rPr>
                              <w:t xml:space="preserve">non </w:t>
                            </w:r>
                            <w:proofErr w:type="spellStart"/>
                            <w:r w:rsidRPr="00F46CF5">
                              <w:rPr>
                                <w:i/>
                                <w:color w:val="002060"/>
                                <w:sz w:val="20"/>
                                <w:szCs w:val="20"/>
                              </w:rPr>
                              <w:t>material</w:t>
                            </w:r>
                            <w:proofErr w:type="spellEnd"/>
                            <w:r w:rsidRPr="00F46CF5">
                              <w:rPr>
                                <w:i/>
                                <w:color w:val="002060"/>
                                <w:sz w:val="20"/>
                                <w:szCs w:val="20"/>
                              </w:rPr>
                              <w:t xml:space="preserve"> NCP</w:t>
                            </w:r>
                            <w:r w:rsidRPr="00F46CF5">
                              <w:rPr>
                                <w:color w:val="002060"/>
                                <w:sz w:val="20"/>
                                <w:szCs w:val="20"/>
                              </w:rPr>
                              <w:t> ».</w:t>
                            </w:r>
                          </w:p>
                          <w:p w:rsidR="007376DF" w:rsidRPr="00F46CF5" w:rsidRDefault="007376DF" w:rsidP="007376DF">
                            <w:pPr>
                              <w:rPr>
                                <w:color w:val="002060"/>
                                <w:sz w:val="20"/>
                                <w:szCs w:val="20"/>
                              </w:rPr>
                            </w:pPr>
                            <w:r w:rsidRPr="00F46CF5">
                              <w:rPr>
                                <w:color w:val="002060"/>
                                <w:sz w:val="20"/>
                                <w:szCs w:val="20"/>
                                <w:u w:val="single"/>
                              </w:rPr>
                              <w:t>Approche contextuelle</w:t>
                            </w:r>
                            <w:r w:rsidRPr="00F46CF5">
                              <w:rPr>
                                <w:color w:val="002060"/>
                                <w:sz w:val="20"/>
                                <w:szCs w:val="20"/>
                              </w:rPr>
                              <w:t xml:space="preserve"> : pas de classification universelle possible. Elle doit se </w:t>
                            </w:r>
                            <w:proofErr w:type="spellStart"/>
                            <w:r w:rsidRPr="00F46CF5">
                              <w:rPr>
                                <w:color w:val="002060"/>
                                <w:sz w:val="20"/>
                                <w:szCs w:val="20"/>
                              </w:rPr>
                              <w:t>co</w:t>
                            </w:r>
                            <w:proofErr w:type="spellEnd"/>
                            <w:r w:rsidRPr="00F46CF5">
                              <w:rPr>
                                <w:color w:val="002060"/>
                                <w:sz w:val="20"/>
                                <w:szCs w:val="20"/>
                              </w:rPr>
                              <w:t>-construire localement.</w:t>
                            </w:r>
                          </w:p>
                          <w:p w:rsidR="007376DF" w:rsidRPr="00F46CF5" w:rsidRDefault="007376DF" w:rsidP="007376DF">
                            <w:pPr>
                              <w:rPr>
                                <w:sz w:val="24"/>
                                <w:szCs w:val="24"/>
                                <w:u w:val="single"/>
                              </w:rPr>
                            </w:pPr>
                            <w:r w:rsidRPr="00645F4B">
                              <w:rPr>
                                <w:b/>
                                <w:sz w:val="24"/>
                                <w:szCs w:val="24"/>
                                <w:u w:val="single"/>
                              </w:rPr>
                              <w:t>Tableau 3.</w:t>
                            </w:r>
                            <w:r>
                              <w:rPr>
                                <w:sz w:val="24"/>
                                <w:szCs w:val="24"/>
                                <w:u w:val="single"/>
                              </w:rPr>
                              <w:t xml:space="preserve"> Liste des NCP.</w:t>
                            </w:r>
                          </w:p>
                          <w:p w:rsidR="007376DF" w:rsidRDefault="007376DF" w:rsidP="007376DF">
                            <w:r w:rsidRPr="0082395C">
                              <w:rPr>
                                <w:noProof/>
                                <w:lang w:eastAsia="fr-FR"/>
                              </w:rPr>
                              <w:drawing>
                                <wp:inline distT="0" distB="0" distL="0" distR="0" wp14:anchorId="5236042F" wp14:editId="7D4B5936">
                                  <wp:extent cx="3586348" cy="242886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rcRect t="4537"/>
                                          <a:stretch>
                                            <a:fillRect/>
                                          </a:stretch>
                                        </pic:blipFill>
                                        <pic:spPr>
                                          <a:xfrm>
                                            <a:off x="0" y="0"/>
                                            <a:ext cx="3584663" cy="242772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5" o:spid="_x0000_s1026" type="#_x0000_t202" style="position:absolute;margin-left:-51.7pt;margin-top:-10.55pt;width:559.55pt;height:58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" fillcolor="#92d050" stroked="f" strokeweight=".5pt">
                <v:textbox>
                  <w:txbxContent>
                    <w:p w:rsidR="007376DF" w:rsidRPr="00F46CF5" w:rsidRDefault="00322DC7" w:rsidP="007376DF">
                      <w:pPr>
                        <w:ind w:firstLine="567"/>
                        <w:rPr>
                          <w:b/>
                          <w:color w:val="002060"/>
                          <w:sz w:val="20"/>
                          <w:szCs w:val="20"/>
                        </w:rPr>
                      </w:pPr>
                      <w:r>
                        <w:rPr>
                          <w:b/>
                          <w:i/>
                          <w:color w:val="002060"/>
                          <w:sz w:val="20"/>
                          <w:szCs w:val="20"/>
                        </w:rPr>
                        <w:t>Encadré 2</w:t>
                      </w:r>
                      <w:bookmarkStart w:id="1" w:name="_GoBack"/>
                      <w:bookmarkEnd w:id="1"/>
                      <w:r w:rsidR="007376DF" w:rsidRPr="00F46CF5">
                        <w:rPr>
                          <w:b/>
                          <w:i/>
                          <w:color w:val="002060"/>
                          <w:sz w:val="20"/>
                          <w:szCs w:val="20"/>
                        </w:rPr>
                        <w:t xml:space="preserve">: </w:t>
                      </w:r>
                      <w:proofErr w:type="spellStart"/>
                      <w:r w:rsidR="007376DF" w:rsidRPr="00F46CF5">
                        <w:rPr>
                          <w:b/>
                          <w:i/>
                          <w:color w:val="002060"/>
                          <w:sz w:val="20"/>
                          <w:szCs w:val="20"/>
                        </w:rPr>
                        <w:t>Nature’s</w:t>
                      </w:r>
                      <w:proofErr w:type="spellEnd"/>
                      <w:r w:rsidR="007376DF" w:rsidRPr="00F46CF5">
                        <w:rPr>
                          <w:b/>
                          <w:i/>
                          <w:color w:val="002060"/>
                          <w:sz w:val="20"/>
                          <w:szCs w:val="20"/>
                        </w:rPr>
                        <w:t xml:space="preserve"> contributions to people</w:t>
                      </w:r>
                      <w:r w:rsidR="007376DF" w:rsidRPr="00F46CF5">
                        <w:rPr>
                          <w:b/>
                          <w:color w:val="002060"/>
                          <w:sz w:val="20"/>
                          <w:szCs w:val="20"/>
                        </w:rPr>
                        <w:t xml:space="preserve"> (NCP)</w:t>
                      </w:r>
                    </w:p>
                    <w:p w:rsidR="007376DF" w:rsidRPr="00F46CF5" w:rsidRDefault="007376DF" w:rsidP="007376DF">
                      <w:pPr>
                        <w:ind w:firstLine="567"/>
                        <w:jc w:val="both"/>
                        <w:rPr>
                          <w:color w:val="002060"/>
                          <w:sz w:val="20"/>
                          <w:szCs w:val="20"/>
                        </w:rPr>
                      </w:pPr>
                      <w:r w:rsidRPr="00F46CF5">
                        <w:rPr>
                          <w:color w:val="002060"/>
                          <w:sz w:val="20"/>
                          <w:szCs w:val="20"/>
                        </w:rPr>
                        <w:t xml:space="preserve">L’IPBES compte, dans ses enjeux, celui de « maintenir ou stimuler les contributions bénéfiques de la nature à la qualité de vie des hommes ». Les NCP ont été définies et mises en pratique dans le cadre de l’IPBES. Elles s’appuient sur le concept des services </w:t>
                      </w:r>
                      <w:proofErr w:type="spellStart"/>
                      <w:r w:rsidRPr="00F46CF5">
                        <w:rPr>
                          <w:color w:val="002060"/>
                          <w:sz w:val="20"/>
                          <w:szCs w:val="20"/>
                        </w:rPr>
                        <w:t>écosystémiques</w:t>
                      </w:r>
                      <w:proofErr w:type="spellEnd"/>
                      <w:r w:rsidRPr="00F46CF5">
                        <w:rPr>
                          <w:color w:val="002060"/>
                          <w:sz w:val="20"/>
                          <w:szCs w:val="20"/>
                        </w:rPr>
                        <w:t xml:space="preserve"> popularisés par le Millenium </w:t>
                      </w:r>
                      <w:proofErr w:type="spellStart"/>
                      <w:r w:rsidRPr="00F46CF5">
                        <w:rPr>
                          <w:color w:val="002060"/>
                          <w:sz w:val="20"/>
                          <w:szCs w:val="20"/>
                        </w:rPr>
                        <w:t>Ecosystem</w:t>
                      </w:r>
                      <w:proofErr w:type="spellEnd"/>
                      <w:r w:rsidRPr="00F46CF5">
                        <w:rPr>
                          <w:color w:val="002060"/>
                          <w:sz w:val="20"/>
                          <w:szCs w:val="20"/>
                        </w:rPr>
                        <w:t xml:space="preserve"> </w:t>
                      </w:r>
                      <w:proofErr w:type="spellStart"/>
                      <w:r w:rsidRPr="00F46CF5">
                        <w:rPr>
                          <w:color w:val="002060"/>
                          <w:sz w:val="20"/>
                          <w:szCs w:val="20"/>
                        </w:rPr>
                        <w:t>Assessment</w:t>
                      </w:r>
                      <w:proofErr w:type="spellEnd"/>
                      <w:r w:rsidRPr="00F46CF5">
                        <w:rPr>
                          <w:color w:val="002060"/>
                          <w:sz w:val="20"/>
                          <w:szCs w:val="20"/>
                        </w:rPr>
                        <w:t>, mais en le modifiant. Deux modifications importantes : 1) la culture joue un rôle central dans les liens unissant l’homme et la nature ; 2) l’utilisation des NCP pousse/met en lumière le rôle des peuples indigènes et celui des savoirs locaux dans la compréhension de ces contributions de la nature.</w:t>
                      </w:r>
                    </w:p>
                    <w:p w:rsidR="007376DF" w:rsidRPr="00F46CF5" w:rsidRDefault="007376DF" w:rsidP="007376DF">
                      <w:pPr>
                        <w:ind w:firstLine="567"/>
                        <w:jc w:val="both"/>
                        <w:rPr>
                          <w:color w:val="002060"/>
                          <w:sz w:val="20"/>
                          <w:szCs w:val="20"/>
                        </w:rPr>
                      </w:pPr>
                      <w:r w:rsidRPr="00F46CF5">
                        <w:rPr>
                          <w:color w:val="002060"/>
                          <w:sz w:val="20"/>
                          <w:szCs w:val="20"/>
                        </w:rPr>
                        <w:t xml:space="preserve">Le travail classique sur les services </w:t>
                      </w:r>
                      <w:proofErr w:type="spellStart"/>
                      <w:r w:rsidRPr="00F46CF5">
                        <w:rPr>
                          <w:color w:val="002060"/>
                          <w:sz w:val="20"/>
                          <w:szCs w:val="20"/>
                        </w:rPr>
                        <w:t>écosystémiques</w:t>
                      </w:r>
                      <w:proofErr w:type="spellEnd"/>
                      <w:r w:rsidRPr="00F46CF5">
                        <w:rPr>
                          <w:color w:val="002060"/>
                          <w:sz w:val="20"/>
                          <w:szCs w:val="20"/>
                        </w:rPr>
                        <w:t xml:space="preserve"> est dominé par les sciences naturelles et économiques. Peu de place est laissée aux sciences sociales et aux savoirs locaux. L’approche des NCP reconnaît l’existence de ces sciences et savoirs, et le fait que des visions différentes du monde existent.</w:t>
                      </w:r>
                    </w:p>
                    <w:p w:rsidR="007376DF" w:rsidRPr="00F46CF5" w:rsidRDefault="007376DF" w:rsidP="007376DF">
                      <w:pPr>
                        <w:ind w:firstLine="567"/>
                        <w:jc w:val="both"/>
                        <w:rPr>
                          <w:color w:val="002060"/>
                          <w:sz w:val="20"/>
                          <w:szCs w:val="20"/>
                        </w:rPr>
                      </w:pPr>
                      <w:r w:rsidRPr="00F46CF5">
                        <w:rPr>
                          <w:color w:val="002060"/>
                          <w:sz w:val="20"/>
                          <w:szCs w:val="20"/>
                        </w:rPr>
                        <w:t xml:space="preserve">Les NCP peuvent être abordés de deux manières : généralisée ou contextuelle. </w:t>
                      </w:r>
                    </w:p>
                    <w:p w:rsidR="007376DF" w:rsidRPr="00F46CF5" w:rsidRDefault="007376DF" w:rsidP="007376DF">
                      <w:pPr>
                        <w:rPr>
                          <w:color w:val="002060"/>
                          <w:sz w:val="20"/>
                          <w:szCs w:val="20"/>
                        </w:rPr>
                      </w:pPr>
                      <w:r w:rsidRPr="00F46CF5">
                        <w:rPr>
                          <w:color w:val="002060"/>
                          <w:sz w:val="20"/>
                          <w:szCs w:val="20"/>
                          <w:u w:val="single"/>
                        </w:rPr>
                        <w:t>Approche généralisée</w:t>
                      </w:r>
                      <w:r w:rsidRPr="00F46CF5">
                        <w:rPr>
                          <w:color w:val="002060"/>
                          <w:sz w:val="20"/>
                          <w:szCs w:val="20"/>
                        </w:rPr>
                        <w:t> : évaluation de 18 catégories de flux de la nature vers l’homme. Ces 18 catégories sont distribuées en 3 groupes qui se superposent : « </w:t>
                      </w:r>
                      <w:proofErr w:type="spellStart"/>
                      <w:r w:rsidRPr="00F46CF5">
                        <w:rPr>
                          <w:i/>
                          <w:color w:val="002060"/>
                          <w:sz w:val="20"/>
                          <w:szCs w:val="20"/>
                        </w:rPr>
                        <w:t>regulating</w:t>
                      </w:r>
                      <w:proofErr w:type="spellEnd"/>
                      <w:r w:rsidRPr="00F46CF5">
                        <w:rPr>
                          <w:i/>
                          <w:color w:val="002060"/>
                          <w:sz w:val="20"/>
                          <w:szCs w:val="20"/>
                        </w:rPr>
                        <w:t xml:space="preserve"> NCP</w:t>
                      </w:r>
                      <w:r w:rsidRPr="00F46CF5">
                        <w:rPr>
                          <w:color w:val="002060"/>
                          <w:sz w:val="20"/>
                          <w:szCs w:val="20"/>
                        </w:rPr>
                        <w:t> », « </w:t>
                      </w:r>
                      <w:proofErr w:type="spellStart"/>
                      <w:r w:rsidRPr="00F46CF5">
                        <w:rPr>
                          <w:i/>
                          <w:color w:val="002060"/>
                          <w:sz w:val="20"/>
                          <w:szCs w:val="20"/>
                        </w:rPr>
                        <w:t>material</w:t>
                      </w:r>
                      <w:proofErr w:type="spellEnd"/>
                      <w:r w:rsidRPr="00F46CF5">
                        <w:rPr>
                          <w:i/>
                          <w:color w:val="002060"/>
                          <w:sz w:val="20"/>
                          <w:szCs w:val="20"/>
                        </w:rPr>
                        <w:t xml:space="preserve"> NCP</w:t>
                      </w:r>
                      <w:r w:rsidRPr="00F46CF5">
                        <w:rPr>
                          <w:color w:val="002060"/>
                          <w:sz w:val="20"/>
                          <w:szCs w:val="20"/>
                        </w:rPr>
                        <w:t> » et « </w:t>
                      </w:r>
                      <w:r w:rsidRPr="00F46CF5">
                        <w:rPr>
                          <w:i/>
                          <w:color w:val="002060"/>
                          <w:sz w:val="20"/>
                          <w:szCs w:val="20"/>
                        </w:rPr>
                        <w:t xml:space="preserve">non </w:t>
                      </w:r>
                      <w:proofErr w:type="spellStart"/>
                      <w:r w:rsidRPr="00F46CF5">
                        <w:rPr>
                          <w:i/>
                          <w:color w:val="002060"/>
                          <w:sz w:val="20"/>
                          <w:szCs w:val="20"/>
                        </w:rPr>
                        <w:t>material</w:t>
                      </w:r>
                      <w:proofErr w:type="spellEnd"/>
                      <w:r w:rsidRPr="00F46CF5">
                        <w:rPr>
                          <w:i/>
                          <w:color w:val="002060"/>
                          <w:sz w:val="20"/>
                          <w:szCs w:val="20"/>
                        </w:rPr>
                        <w:t xml:space="preserve"> NCP</w:t>
                      </w:r>
                      <w:r w:rsidRPr="00F46CF5">
                        <w:rPr>
                          <w:color w:val="002060"/>
                          <w:sz w:val="20"/>
                          <w:szCs w:val="20"/>
                        </w:rPr>
                        <w:t> ».</w:t>
                      </w:r>
                    </w:p>
                    <w:p w:rsidR="007376DF" w:rsidRPr="00F46CF5" w:rsidRDefault="007376DF" w:rsidP="007376DF">
                      <w:pPr>
                        <w:rPr>
                          <w:color w:val="002060"/>
                          <w:sz w:val="20"/>
                          <w:szCs w:val="20"/>
                        </w:rPr>
                      </w:pPr>
                      <w:r w:rsidRPr="00F46CF5">
                        <w:rPr>
                          <w:color w:val="002060"/>
                          <w:sz w:val="20"/>
                          <w:szCs w:val="20"/>
                          <w:u w:val="single"/>
                        </w:rPr>
                        <w:t>Approche contextuelle</w:t>
                      </w:r>
                      <w:r w:rsidRPr="00F46CF5">
                        <w:rPr>
                          <w:color w:val="002060"/>
                          <w:sz w:val="20"/>
                          <w:szCs w:val="20"/>
                        </w:rPr>
                        <w:t xml:space="preserve"> : pas de classification universelle possible. Elle doit se </w:t>
                      </w:r>
                      <w:proofErr w:type="spellStart"/>
                      <w:r w:rsidRPr="00F46CF5">
                        <w:rPr>
                          <w:color w:val="002060"/>
                          <w:sz w:val="20"/>
                          <w:szCs w:val="20"/>
                        </w:rPr>
                        <w:t>co</w:t>
                      </w:r>
                      <w:proofErr w:type="spellEnd"/>
                      <w:r w:rsidRPr="00F46CF5">
                        <w:rPr>
                          <w:color w:val="002060"/>
                          <w:sz w:val="20"/>
                          <w:szCs w:val="20"/>
                        </w:rPr>
                        <w:t>-construire localement.</w:t>
                      </w:r>
                    </w:p>
                    <w:p w:rsidR="007376DF" w:rsidRPr="00F46CF5" w:rsidRDefault="007376DF" w:rsidP="007376DF">
                      <w:pPr>
                        <w:rPr>
                          <w:sz w:val="24"/>
                          <w:szCs w:val="24"/>
                          <w:u w:val="single"/>
                        </w:rPr>
                      </w:pPr>
                      <w:r w:rsidRPr="00645F4B">
                        <w:rPr>
                          <w:b/>
                          <w:sz w:val="24"/>
                          <w:szCs w:val="24"/>
                          <w:u w:val="single"/>
                        </w:rPr>
                        <w:t>Tableau 3.</w:t>
                      </w:r>
                      <w:r>
                        <w:rPr>
                          <w:sz w:val="24"/>
                          <w:szCs w:val="24"/>
                          <w:u w:val="single"/>
                        </w:rPr>
                        <w:t xml:space="preserve"> Liste des NCP.</w:t>
                      </w:r>
                    </w:p>
                    <w:p w:rsidR="007376DF" w:rsidRDefault="007376DF" w:rsidP="007376DF">
                      <w:r w:rsidRPr="0082395C">
                        <w:rPr>
                          <w:noProof/>
                          <w:lang w:eastAsia="fr-FR"/>
                        </w:rPr>
                        <w:drawing>
                          <wp:inline distT="0" distB="0" distL="0" distR="0" wp14:anchorId="5236042F" wp14:editId="7D4B5936">
                            <wp:extent cx="3586348" cy="242886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rcRect t="4537"/>
                                    <a:stretch>
                                      <a:fillRect/>
                                    </a:stretch>
                                  </pic:blipFill>
                                  <pic:spPr>
                                    <a:xfrm>
                                      <a:off x="0" y="0"/>
                                      <a:ext cx="3584663" cy="2427722"/>
                                    </a:xfrm>
                                    <a:prstGeom prst="rect">
                                      <a:avLst/>
                                    </a:prstGeom>
                                  </pic:spPr>
                                </pic:pic>
                              </a:graphicData>
                            </a:graphic>
                          </wp:inline>
                        </w:drawing>
                      </w:r>
                    </w:p>
                  </w:txbxContent>
                </v:textbox>
              </v:shape>
            </w:pict>
          </mc:Fallback>
        </mc:AlternateContent>
      </w:r>
    </w:p>
    <w:sectPr w:rsidR="00506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79F"/>
    <w:rsid w:val="001D7887"/>
    <w:rsid w:val="00322DC7"/>
    <w:rsid w:val="00506DF8"/>
    <w:rsid w:val="0065779F"/>
    <w:rsid w:val="007376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6D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376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76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6D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376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76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4</cp:revision>
  <dcterms:created xsi:type="dcterms:W3CDTF">2020-11-05T05:12:00Z</dcterms:created>
  <dcterms:modified xsi:type="dcterms:W3CDTF">2020-11-11T09:44:00Z</dcterms:modified>
</cp:coreProperties>
</file>